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25A01">
      <w:pPr>
        <w:spacing w:line="560" w:lineRule="exact"/>
        <w:ind w:firstLine="643" w:firstLineChars="200"/>
        <w:rPr>
          <w:rFonts w:ascii="仿宋_GB2312" w:hAnsi="宋体" w:eastAsia="仿宋_GB2312" w:cs="宋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bCs/>
          <w:color w:val="auto"/>
          <w:sz w:val="32"/>
          <w:szCs w:val="32"/>
          <w:shd w:val="clear" w:color="auto" w:fill="FFFFFF"/>
        </w:rPr>
        <w:t>竞价公告如下：</w:t>
      </w:r>
    </w:p>
    <w:p w14:paraId="1CEA1AB0">
      <w:pPr>
        <w:spacing w:line="560" w:lineRule="exact"/>
        <w:ind w:firstLine="640" w:firstLineChars="200"/>
        <w:rPr>
          <w:rFonts w:ascii="仿宋_GB2312" w:hAnsi="宋体" w:eastAsia="仿宋_GB2312" w:cs="宋体"/>
          <w:color w:val="auto"/>
          <w:sz w:val="32"/>
          <w:szCs w:val="32"/>
          <w:shd w:val="clear" w:color="auto" w:fill="FFFFFF"/>
        </w:rPr>
      </w:pPr>
      <w:bookmarkStart w:id="0" w:name="OLE_LINK22"/>
      <w:bookmarkStart w:id="1" w:name="OLE_LINK21"/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shd w:val="clear" w:color="auto" w:fill="FFFFFF"/>
        </w:rPr>
        <w:t>丽水市莲都区</w:t>
      </w:r>
      <w:bookmarkEnd w:id="0"/>
      <w:bookmarkEnd w:id="1"/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shd w:val="clear" w:color="auto" w:fill="FFFFFF"/>
        </w:rPr>
        <w:t>水务发展投资有限公司</w:t>
      </w:r>
      <w:r>
        <w:rPr>
          <w:rFonts w:hint="eastAsia" w:ascii="仿宋_GB2312" w:hAnsi="宋体" w:eastAsia="仿宋_GB2312" w:cs="宋体"/>
          <w:color w:val="auto"/>
          <w:sz w:val="32"/>
          <w:szCs w:val="32"/>
          <w:shd w:val="clear" w:color="auto" w:fill="FFFFFF"/>
        </w:rPr>
        <w:t>（单位）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shd w:val="clear" w:color="auto" w:fill="FFFFFF"/>
        </w:rPr>
        <w:t>莲都区碧湖平原防洪排涝工程（新治河支河、山根溪拓宽及新开河段)基坑、边坡及其他附属设施（房屋、路面等）监测服务</w:t>
      </w:r>
      <w:r>
        <w:rPr>
          <w:rFonts w:hint="eastAsia" w:ascii="仿宋_GB2312" w:hAnsi="宋体" w:eastAsia="仿宋_GB2312" w:cs="宋体"/>
          <w:color w:val="auto"/>
          <w:sz w:val="32"/>
          <w:szCs w:val="32"/>
          <w:shd w:val="clear" w:color="auto" w:fill="FFFFFF"/>
        </w:rPr>
        <w:t>（中介服务项目）将在莲都区限额项目交易平台进行公开竞价，现将有关内容公告如下：</w:t>
      </w:r>
    </w:p>
    <w:p w14:paraId="008884A4">
      <w:pPr>
        <w:spacing w:line="560" w:lineRule="exact"/>
        <w:ind w:firstLine="643" w:firstLineChars="200"/>
        <w:rPr>
          <w:rFonts w:ascii="仿宋_GB2312" w:hAnsi="宋体" w:eastAsia="仿宋_GB2312" w:cs="宋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bCs/>
          <w:color w:val="auto"/>
          <w:sz w:val="32"/>
          <w:szCs w:val="32"/>
          <w:shd w:val="clear" w:color="auto" w:fill="FFFFFF"/>
        </w:rPr>
        <w:t>一、项目概况及竞价要求</w:t>
      </w:r>
    </w:p>
    <w:p w14:paraId="683FABD3">
      <w:pPr>
        <w:pStyle w:val="2"/>
        <w:shd w:val="clear" w:color="auto" w:fill="FFFFFF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</w:pPr>
      <w:bookmarkStart w:id="2" w:name="_Hlk19555530"/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1.</w:t>
      </w:r>
      <w:bookmarkEnd w:id="2"/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项目地点：莲都区碧湖镇郎奇村、缸窑村、蒲塘村</w:t>
      </w:r>
    </w:p>
    <w:p w14:paraId="3CEE1994">
      <w:pPr>
        <w:pStyle w:val="2"/>
        <w:spacing w:before="0" w:beforeAutospacing="0" w:after="0" w:afterAutospacing="0" w:line="560" w:lineRule="exact"/>
        <w:ind w:firstLine="641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2.项目基本情况：</w:t>
      </w:r>
      <w:r>
        <w:rPr>
          <w:rFonts w:hint="eastAsia" w:ascii="仿宋_GB2312" w:eastAsia="仿宋_GB2312"/>
          <w:color w:val="auto"/>
          <w:sz w:val="32"/>
          <w:szCs w:val="32"/>
          <w:u w:val="single"/>
          <w:shd w:val="clear" w:color="auto" w:fill="FFFFFF"/>
        </w:rPr>
        <w:t>莲都区碧湖平原防洪排涝工程（新治河支河、山根溪拓宽及新开河段)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概算总投资为20433.27万元。主要实施内容为：新治河支河拓宽2.28km，山根溪拓宽1.52km，山根溪至郎奇溪新开河1.32km，沿线涉及新加固堤防10.17km，工程沿线桥梁改建、新建25 座，新建节制闸4 座，倒虹吸1 座，以及各河道沿线配套的管理道路、绿化、河埠头等。业主单位为丽水市莲都区水利局，委托建设单位为丽水市莲都区水务发展投资有限公司。</w:t>
      </w:r>
    </w:p>
    <w:p w14:paraId="5DEBC9A6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3.竞价内容范围：完成莲都区碧湖平原防洪排涝工程（新治河支河、山根溪拓宽及新开河段)基坑、边坡及其他附属设施（房屋、路面等）监测服务。</w:t>
      </w:r>
    </w:p>
    <w:p w14:paraId="0898EB1E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4.中介服务完成期限要求：以业主要求为准。</w:t>
      </w:r>
    </w:p>
    <w:p w14:paraId="760DFB60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5.质量要求：符合相关法律法规、政策文件及业主要求。</w:t>
      </w:r>
    </w:p>
    <w:p w14:paraId="1805E970">
      <w:pPr>
        <w:pStyle w:val="2"/>
        <w:shd w:val="clear" w:color="auto" w:fill="FFFFFF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6.竞价控制价（设置依据）：经多家单位咨询，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最低下浮率30%，最高下浮率50%，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超出范围的无效。最终服务金额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根据监测内容按实际完成工作量及单价乘以中标下浮率结算，具体监测内容和方案需经业主书面确认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（费用已包含基坑、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边坡及其他附属设施（房屋、路面等）监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测服务</w:t>
      </w:r>
      <w:r>
        <w:rPr>
          <w:rFonts w:ascii="仿宋_GB2312" w:hAnsi="仿宋" w:eastAsia="仿宋_GB2312" w:cs="仿宋"/>
          <w:color w:val="auto"/>
          <w:sz w:val="32"/>
          <w:szCs w:val="32"/>
        </w:rPr>
        <w:t>费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、人工费、工本费、差旅费、税费等全部费用）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</w:rPr>
        <w:t>（监测计划及单价基准价详见附件）。</w:t>
      </w:r>
    </w:p>
    <w:p w14:paraId="10261A0E">
      <w:pPr>
        <w:pStyle w:val="2"/>
        <w:spacing w:before="0" w:beforeAutospacing="0" w:after="0" w:afterAutospacing="0" w:line="560" w:lineRule="exact"/>
        <w:ind w:firstLine="641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7.交易服务费由中标人支付。</w:t>
      </w:r>
    </w:p>
    <w:p w14:paraId="721960D2">
      <w:pPr>
        <w:pStyle w:val="2"/>
        <w:spacing w:before="0" w:beforeAutospacing="0" w:after="0" w:afterAutospacing="0" w:line="560" w:lineRule="exact"/>
        <w:ind w:firstLine="641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二、竞价时间：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自公告之日起至2026年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日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  <w:lang w:val="en-US" w:eastAsia="zh-CN"/>
        </w:rPr>
        <w:t>17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时止（以实际竞价时间为准）。</w:t>
      </w:r>
    </w:p>
    <w:p w14:paraId="3620F8EE">
      <w:pPr>
        <w:pStyle w:val="2"/>
        <w:spacing w:before="0" w:beforeAutospacing="0" w:after="0" w:afterAutospacing="0" w:line="560" w:lineRule="exact"/>
        <w:ind w:firstLine="643" w:firstLineChars="200"/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三、竞价人条件：</w:t>
      </w:r>
    </w:p>
    <w:p w14:paraId="617BD786">
      <w:pPr>
        <w:pStyle w:val="2"/>
        <w:spacing w:before="0" w:beforeAutospacing="0" w:after="0" w:afterAutospacing="0" w:line="560" w:lineRule="exact"/>
        <w:ind w:firstLine="641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经相关部门审核注册入网，取得网上竞价资格的中介机构，可参与相应资质类型及等级要求的中介服务项目的竞价。</w:t>
      </w:r>
    </w:p>
    <w:p w14:paraId="2A80D7FC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1、资质类型及等级要求：测绘资质（乙级及以上）；</w:t>
      </w:r>
    </w:p>
    <w:p w14:paraId="21E36933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2、提供资质证明材料和近三年基坑、边坡及其他附属设施（房屋、路面等）监测相关业绩（类似业绩至少一个，需同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时提供对应单位盖章的业绩合同和服务完成证明），竞价截止时间前提供，按要求上传至交易平台，否则视为无资质、无业绩）；</w:t>
      </w:r>
    </w:p>
    <w:p w14:paraId="072F45A2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3、因不符合条件参加竞价的，由竞价人自行承担相应的法律责任。</w:t>
      </w:r>
    </w:p>
    <w:p w14:paraId="79EDDA06">
      <w:pPr>
        <w:pStyle w:val="2"/>
        <w:spacing w:line="560" w:lineRule="exact"/>
        <w:ind w:firstLine="641"/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4、人员要求：满足相关法律法规、行业规定及发包人要求。</w:t>
      </w:r>
    </w:p>
    <w:p w14:paraId="19AABA68">
      <w:pPr>
        <w:pStyle w:val="2"/>
        <w:spacing w:line="560" w:lineRule="exact"/>
        <w:ind w:firstLine="641"/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5、经营范围要求：满足相关法律法规要求。</w:t>
      </w:r>
    </w:p>
    <w:p w14:paraId="5429B95D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b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b/>
          <w:color w:val="333333"/>
          <w:sz w:val="32"/>
          <w:szCs w:val="32"/>
        </w:rPr>
        <w:t>四、咨询、现场勘察的时间与方式：</w:t>
      </w:r>
    </w:p>
    <w:p w14:paraId="18A799C2">
      <w:pPr>
        <w:pStyle w:val="2"/>
        <w:spacing w:before="0" w:beforeAutospacing="0" w:after="0" w:afterAutospacing="0" w:line="560" w:lineRule="exact"/>
        <w:ind w:firstLine="641"/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自公告之日起至</w:t>
      </w:r>
      <w:r>
        <w:rPr>
          <w:rFonts w:hint="eastAsia" w:ascii="仿宋_GB2312" w:hAnsi="仿宋" w:eastAsia="仿宋_GB2312" w:cs="仿宋"/>
          <w:color w:val="333333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333333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color w:val="333333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日</w:t>
      </w:r>
      <w:r>
        <w:rPr>
          <w:rFonts w:hint="eastAsia" w:ascii="仿宋_GB2312" w:hAnsi="仿宋" w:eastAsia="仿宋_GB2312" w:cs="仿宋"/>
          <w:color w:val="333333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时止（节假日除外）（以实际竞价时间为准）接受咨询，有需要现场勘察的请与项目业主联系统一安排现场勘察。</w:t>
      </w:r>
    </w:p>
    <w:tbl>
      <w:tblPr>
        <w:tblStyle w:val="3"/>
        <w:tblpPr w:leftFromText="180" w:rightFromText="180" w:vertAnchor="text" w:horzAnchor="page" w:tblpX="1417" w:tblpY="7469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011"/>
        <w:gridCol w:w="1178"/>
        <w:gridCol w:w="740"/>
        <w:gridCol w:w="745"/>
        <w:gridCol w:w="740"/>
        <w:gridCol w:w="750"/>
        <w:gridCol w:w="1225"/>
        <w:gridCol w:w="1394"/>
      </w:tblGrid>
      <w:tr w14:paraId="3D110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_GoBack"/>
            <w:bookmarkEnd w:id="3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 w14:paraId="2888A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1E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1.计价标准：国家发展计划委员会、建设部《工程勘察设计收费标准》（2002年修订本）</w:t>
            </w:r>
          </w:p>
        </w:tc>
      </w:tr>
      <w:tr w14:paraId="13CA5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0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2.监测依据：《建筑基坑工程监测技术标准》（GB 50497-2019；《建筑变形测量规范》（JGJ 8-2016）；《工程测量规范》（GB 50026-2007）及基坑围护设计的有关规定。</w:t>
            </w:r>
          </w:p>
        </w:tc>
      </w:tr>
      <w:tr w14:paraId="27E91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D4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3.技术服务费按22％计取。</w:t>
            </w:r>
          </w:p>
        </w:tc>
      </w:tr>
      <w:tr w14:paraId="578CE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0F98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4.周期18个月，基坑监测周期2个月一周2次一次约16次。基坑安全等级一级，边坡安全等级为二级。</w:t>
            </w:r>
          </w:p>
        </w:tc>
      </w:tr>
      <w:tr w14:paraId="66136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70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6E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监测项目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3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费用名称</w:t>
            </w:r>
          </w:p>
        </w:tc>
        <w:tc>
          <w:tcPr>
            <w:tcW w:w="8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4D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42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4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B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次数</w:t>
            </w:r>
          </w:p>
        </w:tc>
        <w:tc>
          <w:tcPr>
            <w:tcW w:w="7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1C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 额(元)</w:t>
            </w:r>
          </w:p>
        </w:tc>
        <w:tc>
          <w:tcPr>
            <w:tcW w:w="8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10F5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FA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46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D4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7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 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(元)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7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3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60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D6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E44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2D9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D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前期投入费用小计</w:t>
            </w:r>
          </w:p>
        </w:tc>
        <w:tc>
          <w:tcPr>
            <w:tcW w:w="328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前期投入费用在实物工作费用中综合考虑不单独计费</w:t>
            </w:r>
          </w:p>
        </w:tc>
      </w:tr>
      <w:tr w14:paraId="1B19E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C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674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现场实物工作费用小计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11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4F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9F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856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DC1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B083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F63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 </w:t>
            </w:r>
          </w:p>
        </w:tc>
        <w:tc>
          <w:tcPr>
            <w:tcW w:w="5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0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监测基准网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E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F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2181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7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1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1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D7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15267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6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70B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8B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BD4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3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竖向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C6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1216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D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1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6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19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8470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1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2D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C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 </w:t>
            </w:r>
          </w:p>
        </w:tc>
        <w:tc>
          <w:tcPr>
            <w:tcW w:w="5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D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房屋位移监测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7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6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E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3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75264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A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BEF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6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D3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3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竖向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8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9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5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B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8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49728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D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F7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7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 </w:t>
            </w:r>
          </w:p>
        </w:tc>
        <w:tc>
          <w:tcPr>
            <w:tcW w:w="5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95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石郎线桥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4A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8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0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5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7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7168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12C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943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A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B7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4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竖向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D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1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A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4736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4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3CF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5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 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3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围墙裂缝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8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竖向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1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点*次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3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5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5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14400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F9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DE1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A01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72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DA5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822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69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E3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DFB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C69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29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202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35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技术服务费</w:t>
            </w:r>
          </w:p>
        </w:tc>
        <w:tc>
          <w:tcPr>
            <w:tcW w:w="243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3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（2）*0.22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F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38507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A81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C0B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9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B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243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4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（2）+（3）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D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213540 </w:t>
            </w: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1583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27F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7B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1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最终报价按下浮率   计费总金额为    元</w:t>
            </w:r>
          </w:p>
        </w:tc>
        <w:tc>
          <w:tcPr>
            <w:tcW w:w="7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4CC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324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2A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B4E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381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C60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E4F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4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66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公司名称（盖章）：                     日期：   年  月  日</w:t>
            </w:r>
          </w:p>
        </w:tc>
      </w:tr>
    </w:tbl>
    <w:p w14:paraId="05795E70">
      <w:pPr>
        <w:numPr>
          <w:ilvl w:val="0"/>
          <w:numId w:val="1"/>
        </w:numPr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333333"/>
          <w:sz w:val="32"/>
          <w:szCs w:val="32"/>
        </w:rPr>
        <w:t>竞价成交方式：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竞价方式为暗报价，超出报价范围的无效。本次竞价采用最低中标原则，如有多家单位最低报价相同，根据竞价单位提交的资质、业绩等材料，从符合条件的单位中采用综合</w:t>
      </w:r>
      <w:r>
        <w:rPr>
          <w:rFonts w:ascii="仿宋_GB2312" w:hAnsi="仿宋" w:eastAsia="仿宋_GB2312" w:cs="仿宋"/>
          <w:color w:val="333333"/>
          <w:sz w:val="32"/>
          <w:szCs w:val="32"/>
        </w:rPr>
        <w:t>选择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确定中标人。其中报名单位符合条件家数在15家(不包含本数)以内的，综合选取3家及以上，报名单位符合条件家数在15 家(包含本数)以上的，综合选取5家及以上，采用随机抽签的方式确定成交单位（报名单位符合条件家数少于3家(包含本数)的采用直接抽签）。</w:t>
      </w:r>
    </w:p>
    <w:p w14:paraId="67C1A470">
      <w:pPr>
        <w:widowControl w:val="0"/>
        <w:numPr>
          <w:numId w:val="0"/>
        </w:numPr>
        <w:jc w:val="both"/>
        <w:rPr>
          <w:rFonts w:hint="eastAsia" w:ascii="仿宋_GB2312" w:hAnsi="仿宋" w:eastAsia="仿宋_GB2312" w:cs="仿宋"/>
          <w:color w:val="333333"/>
          <w:sz w:val="32"/>
          <w:szCs w:val="32"/>
        </w:rPr>
      </w:pPr>
    </w:p>
    <w:p w14:paraId="3FED5DA7">
      <w:pPr>
        <w:widowControl w:val="0"/>
        <w:numPr>
          <w:numId w:val="0"/>
        </w:numPr>
        <w:jc w:val="both"/>
        <w:rPr>
          <w:rFonts w:hint="eastAsia" w:ascii="仿宋_GB2312" w:hAnsi="仿宋" w:eastAsia="仿宋_GB2312" w:cs="仿宋"/>
          <w:color w:val="333333"/>
          <w:sz w:val="32"/>
          <w:szCs w:val="32"/>
        </w:rPr>
      </w:pPr>
    </w:p>
    <w:p w14:paraId="4A3ADDF9">
      <w:pPr>
        <w:widowControl w:val="0"/>
        <w:numPr>
          <w:ilvl w:val="0"/>
          <w:numId w:val="0"/>
        </w:numPr>
        <w:jc w:val="both"/>
        <w:rPr>
          <w:rFonts w:hint="eastAsia" w:ascii="仿宋_GB2312" w:hAnsi="仿宋" w:eastAsia="仿宋_GB2312" w:cs="仿宋"/>
          <w:color w:val="333333"/>
          <w:sz w:val="32"/>
          <w:szCs w:val="32"/>
        </w:rPr>
      </w:pPr>
    </w:p>
    <w:p w14:paraId="191D169D">
      <w:pPr>
        <w:widowControl w:val="0"/>
        <w:numPr>
          <w:ilvl w:val="0"/>
          <w:numId w:val="0"/>
        </w:numPr>
        <w:jc w:val="both"/>
        <w:rPr>
          <w:rFonts w:hint="eastAsia" w:ascii="仿宋_GB2312" w:hAnsi="仿宋" w:eastAsia="仿宋_GB2312" w:cs="仿宋"/>
          <w:color w:val="333333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6D5BCD"/>
    <w:multiLevelType w:val="singleLevel"/>
    <w:tmpl w:val="986D5BC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A95502"/>
    <w:rsid w:val="1B6765C2"/>
    <w:rsid w:val="2F9A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1212</Words>
  <Characters>1258</Characters>
  <Lines>0</Lines>
  <Paragraphs>0</Paragraphs>
  <TotalTime>0</TotalTime>
  <ScaleCrop>false</ScaleCrop>
  <LinksUpToDate>false</LinksUpToDate>
  <CharactersWithSpaces>1276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2026-04-01T08:57:00Z</dcterms:created>
  <dc:creator>Administrator</dc:creator>
  <cp:lastModifiedBy>海波～529225</cp:lastModifiedBy>
  <dcterms:modified xsi:type="dcterms:W3CDTF">2026-04-01T09:00:20Z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eyJoZGlkIjoiMTg5ZjRlOTQ1YjI2YTI0NjQ1MjUyNGMzNDZmNmMxYWMiLCJ1c2VySWQiOiI0MjMzNDM2NzQifQ==</vt:lpwstr>
  </property>
  <property fmtid="{D5CDD505-2E9C-101B-9397-08002B2CF9AE}" pid="4" name="ICV">
    <vt:lpwstr>89488732E79C47B68FFE6B88781F621A_12</vt:lpwstr>
  </property>
</Properties>
</file>